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bookmarkStart w:id="0" w:name="_GoBack"/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114B8F" w:rsidRPr="00114B8F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25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114B8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114B8F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114B8F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114B8F" w:rsidRPr="00114B8F" w:rsidRDefault="00114B8F" w:rsidP="00114B8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114B8F" w:rsidRPr="00114B8F" w:rsidRDefault="00114B8F" w:rsidP="00114B8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ՄԻՆՉԵՎ 800 ՆՍՏԱՏԵՂՈՎ ՄՇԱԿՈՒԹԱՅԻՆ ՀԻՄՆԱՐԿՆԵՐԻ ՀԱՄԱՐ</w:t>
      </w: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______ ________ 20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թ</w:t>
      </w:r>
      <w:r w:rsidRPr="00114B8F">
        <w:rPr>
          <w:rFonts w:ascii="GHEA Grapalat" w:eastAsia="Times New Roman" w:hAnsi="GHEA Grapalat" w:cs="Times New Roman"/>
          <w:color w:val="000000"/>
        </w:rPr>
        <w:t>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114B8F" w:rsidRPr="00114B8F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  <w:r w:rsidRPr="00114B8F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  <w:r w:rsidRPr="00114B8F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  <w:r w:rsidRPr="00114B8F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</w:t>
                  </w:r>
                  <w:r w:rsidRPr="00114B8F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114B8F" w:rsidRPr="00114B8F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114B8F" w:rsidRPr="00114B8F" w:rsidRDefault="00114B8F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114B8F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114B8F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114B8F" w:rsidRPr="00114B8F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4B8F" w:rsidRPr="00114B8F" w:rsidRDefault="00114B8F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lastRenderedPageBreak/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lastRenderedPageBreak/>
                    <w:t>________________________________</w:t>
                  </w:r>
                </w:p>
                <w:p w:rsidR="00114B8F" w:rsidRPr="00114B8F" w:rsidRDefault="00114B8F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114B8F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lastRenderedPageBreak/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ՄԻՆՉԵՎ 800 ՆՍՏԱՏԵՂՈՎ ՄՇԱԿՈՒԹԱՅԻՆ ՀԻՄՆԱՐԿՆԵՐԻ ՀԱՄԱՐ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410"/>
        <w:gridCol w:w="367"/>
        <w:gridCol w:w="257"/>
        <w:gridCol w:w="433"/>
        <w:gridCol w:w="1484"/>
        <w:gridCol w:w="1282"/>
        <w:gridCol w:w="1131"/>
        <w:gridCol w:w="855"/>
      </w:tblGrid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Մարդկանց զանգվածային ներկայությամբ շենքերում (շինություններում) միջոցառումների անցկացման ժամանակ հրդեհային անվտանգության ապահովման նպատակով մշակված են 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համապատասխան միջոցառումներ: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Մշակութային հիմնարկներ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Մշակութային հիմնարկներում առկա են ցուցանմուշների և ապրանքանյութական այլ արժեքների տարահանման պլաններ: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Կրկեսներում և կենդանաբանական այգիներում առկա են կենդանիների տարահանման պլաններ: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Հանդիսադահլիճների (տրիբունաների) կարգերի բոլոր աթոռները (բացառությամբ մինչև 12 նստատեղով և առանձին ելք ունեցող օթյակների)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Մինչև 200 նստատեղով պարային երեկոների հանդիսադահլիճներում աթոռները միացված են իրար: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Բեմական փայտյա կառուցվածքները (այրունակ դեկորացիաները, բեմական, ցուցահանդեսային ձևավորումները, հանդիսադահլիճների, ճեմասրահների վարագույրները) մշակված են հրապաշտպան 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1;2,3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Թատերական հիմնարկների բեմական մասում միաժամանակ գտնվում են ոչ ավելի քան երկու ներկայացման համար նախատեսված դեկորացիաներ: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Ներկայացման ավարտից հետո, բոլոր դեկորացիաները տեղափոխված է հատուկ պահեստ: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Բեմի վրա հակահրդեհային կենսակարգը պահպանված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Բեմադրության (փորձնական ներկայացման) ավարտից հետո հակահրդեհային վարագույրը իջեցված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Բաց հրապարակներում հատուկ էֆեկտների կիրառման անհրաժեշտության դեպքում պատասխանատու բեմադրիչի (գլխավոր ռեժիսորի, գեղարվեստական ղեկավարի) կողմից հրդեհների կանխման նպատակով մշակված է համապատասխան հակահրդեհային միջոցներ: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Շենքից տարահանման ելքերի քանակը պակաս չէ երկուսից, եթե դրանում տեղավորված են սենքեր, որոնք պետք է ունենան 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տարահանման ոչ պակաս քան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«5»,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50 մարդ և ավելի տարահանվողների թվաքանակի դեպքում դռների բացվածքների լայնությունը փոքր չէ 1,2 մետրից: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«5»,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տանիքների,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24</w:t>
            </w:r>
            <w:r w:rsidRPr="00114B8F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Էլեկտրասարքավորումները մոնտաժվել և շահագործվում են էլեկտրական սարքավորումների 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24</w:t>
            </w:r>
            <w:r w:rsidRPr="00114B8F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10, «7»,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կետեր 208,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Լուսատուներից մինչև այրվող նյութից պատրաստված կառուցվածքները և իրերը պահպանված է ոչ պակաս քան 0,5մ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գլուխ 5,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«8», գլուխ 5, 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«3», գլուխ 8, կետ 8</w:t>
            </w:r>
            <w:r w:rsidRPr="00114B8F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2, , </w:t>
            </w:r>
            <w:r w:rsidRPr="00114B8F">
              <w:rPr>
                <w:rFonts w:ascii="GHEA Grapalat" w:eastAsia="Times New Roman" w:hAnsi="GHEA Grapalat" w:cs="Sylfaen"/>
                <w:color w:val="000000"/>
              </w:rPr>
              <w:t>ենթակետ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բնական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լուսավորություն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չունեցող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սենքերում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տեղակայված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հակածխային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պաշտպանութ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«3», կետ 8</w:t>
            </w:r>
            <w:r w:rsidRPr="00114B8F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2, </w:t>
            </w:r>
            <w:r w:rsidRPr="00114B8F">
              <w:rPr>
                <w:rFonts w:ascii="GHEA Grapalat" w:eastAsia="Times New Roman" w:hAnsi="GHEA Grapalat" w:cs="Sylfaen"/>
                <w:color w:val="000000"/>
              </w:rPr>
              <w:t>ենթակետ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Sylfaen"/>
                <w:color w:val="000000"/>
              </w:rPr>
              <w:t>դ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«6», գլուխ 5,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կետեր 29,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45, գլուխ 11,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կետ 602 և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գլուխ 12,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«2»,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-ից ավելի ծավալով շենքերը սարքավորված են հրշեջ ծորակներով կահավորված ներքին հակահրդեհային 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«2»,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34</w:t>
            </w:r>
            <w:r w:rsidRPr="00114B8F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6,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Մշակութային հիմնարկները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7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7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I, գլուխ 7, կետեր</w:t>
            </w:r>
          </w:p>
          <w:p w:rsidR="00114B8F" w:rsidRPr="00114B8F" w:rsidRDefault="00114B8F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«4»,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114B8F" w:rsidRPr="00114B8F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14B8F" w:rsidRPr="00114B8F" w:rsidRDefault="00114B8F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114B8F">
        <w:rPr>
          <w:rFonts w:ascii="GHEA Grapalat" w:eastAsia="Times New Roman" w:hAnsi="GHEA Grapalat" w:cs="Times New Roman"/>
          <w:color w:val="000000"/>
        </w:rPr>
        <w:t>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«2» - ՀՀՇՆ 40-01.01-2014 «Շենքերի ներքին ջրամատակարարում և ջրահեռացում»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«3» - ՀՀՇՆ IV-12.02.01-04 «Ջեռուցում, օդափոխում և օդի լավորակում»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«4» «Տեխնիկական անվտանգության ապահովման պետական կարգավորման մասին» ՀՀ օրենք ընդունված է 2005 թվականի հոկտեմբերի 24-ին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«6» - ՀՀՇՆ 40.01.02-2020 «Ջրամատակարարում. Արտաքին ցանցեր և կառուցվածքներ»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«7» - ՀՀՇՆ 22-03-2017 «Արհեստական և բնական լուսավորում»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«8» - ՀՀ կառավարության 2023թ. ապրիլի 13-ի «Գազաբաշխման համակարգի անվտանգության և շահագործման կանոնները հաստատելու մասին» N 539-Ն որոշում»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I*- Մարդկանց զանգվածային ներկայությամբ շենքերում, շինություններում և բաց տարածքներում ամանորյա և այլ տիպի միջոցառումների անցկացման ժամանակ`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1) անհրաժեշտ է`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ա) տոնածառը դնել կայուն հենամասի վրա այնպես, որպեսզի ճյուղերը չքսվեն պատերին և առաստաղին.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բ) տոնահանդեսի անցկացման վայրում էլեկտրական լուսավորության բացակայության դեպքում միջոցառումները անցկացնել ցերեկային ժամերին. տոնածառի վրա օգտագործել լամպերի շղթաներ մինչև 12 Վտ հզորությամբ լամպերի հաջորդական միացմամբ՝ առանց ցածրացնող տրանսֆորմատորի.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lastRenderedPageBreak/>
        <w:t>գ) լուսավորության անսարքություններ հայտնաբերելու դեպքում (լարերի տաքացում, լամպերի թարթում, կայծարձակում և այլն) սարքը պետք է անմիջապես հոսանքազրկել: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2) չի թույլատրվում`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ա) օգտագործել աղեղնավոր լուսարձակներ, լուսավորել մոմերով, վառել հրավառելիք, ստեղծել այլ լուսային հրդեհավտանգ էֆեկտներ, որոնք կարող են հրդեհի պատճառ դառնալ.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բ) օգտագործել գնդակներ, փուչիկներ, խաղալիքներ և զարդարանքի միջոցներ, որոնք պատրաստված են հրդեհավտանգ նյութերից և պարունակում են հրդեհապայթյունավտանգ գազեր, ինչպես նաև ինքնայրման հակում ունեցող կամ միմյանց հետ շփվելիս այրում կամ պայթյուն առաջացնող նյութերից.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գ) տոնածառը զարդարել հրապաշտպան բաղադրություններով չտոգորված ցելուլոիդե խաղալիքներով, թանզիֆով, բամբակով.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դ) միջոցառումներ անցկացնելու տեղերը մթնեցնելու համար պատուհանները փակել ծածկոցափեղկերով.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ե) փոքրացնել կարգերի միջև եղած հեռավորությունները, ինչպես նաև անցումներում լրացուցիչ բազկաթոռներ տեղադրել և այլն.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զ) դահլիճում լույսը լրիվ մարել բեմադրությունների և ներկայացումների ժամանակ: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3) բեմում և դահլիճում պետք է կազմակերպվի հրշեջ հերթապահություն` կազմակերպիչների ուժերով: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II*- Ոչ պակաս քան տարահանման երկու ելք պետք է ունենան.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ա) տաս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հիմնարկներին ննջարանային մասնաշենքերի սենքերը,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114B8F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GHEA Grapalat"/>
          <w:color w:val="000000"/>
        </w:rPr>
        <w:t>ավելի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մակերեսով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սենքերը</w:t>
      </w:r>
      <w:r w:rsidRPr="00114B8F">
        <w:rPr>
          <w:rFonts w:ascii="GHEA Grapalat" w:eastAsia="Times New Roman" w:hAnsi="GHEA Grapalat" w:cs="Times New Roman"/>
          <w:color w:val="000000"/>
        </w:rPr>
        <w:t>,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114B8F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GHEA Grapalat"/>
          <w:color w:val="000000"/>
        </w:rPr>
        <w:t>ավելի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հարկաբաժնի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հատակի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մակերեսի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դեպքում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և</w:t>
      </w:r>
      <w:r w:rsidRPr="00114B8F">
        <w:rPr>
          <w:rFonts w:ascii="GHEA Grapalat" w:eastAsia="Times New Roman" w:hAnsi="GHEA Grapalat" w:cs="Times New Roman"/>
          <w:color w:val="000000"/>
        </w:rPr>
        <w:t xml:space="preserve"> 400 </w:t>
      </w:r>
      <w:r w:rsidRPr="00114B8F">
        <w:rPr>
          <w:rFonts w:ascii="GHEA Grapalat" w:eastAsia="Times New Roman" w:hAnsi="GHEA Grapalat" w:cs="GHEA Grapalat"/>
          <w:color w:val="000000"/>
        </w:rPr>
        <w:t>մ</w:t>
      </w:r>
      <w:r w:rsidRPr="00114B8F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GHEA Grapalat"/>
          <w:color w:val="000000"/>
        </w:rPr>
        <w:t>ավելի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- </w:t>
      </w:r>
      <w:r w:rsidRPr="00114B8F">
        <w:rPr>
          <w:rFonts w:ascii="GHEA Grapalat" w:eastAsia="Times New Roman" w:hAnsi="GHEA Grapalat" w:cs="GHEA Grapalat"/>
          <w:color w:val="000000"/>
        </w:rPr>
        <w:t>այլ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կարգի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սենքերի</w:t>
      </w:r>
      <w:r w:rsidRPr="00114B8F">
        <w:rPr>
          <w:rFonts w:ascii="GHEA Grapalat" w:eastAsia="Times New Roman" w:hAnsi="GHEA Grapalat" w:cs="Times New Roman"/>
          <w:color w:val="000000"/>
        </w:rPr>
        <w:t xml:space="preserve"> </w:t>
      </w:r>
      <w:r w:rsidRPr="00114B8F">
        <w:rPr>
          <w:rFonts w:ascii="GHEA Grapalat" w:eastAsia="Times New Roman" w:hAnsi="GHEA Grapalat" w:cs="GHEA Grapalat"/>
          <w:color w:val="000000"/>
        </w:rPr>
        <w:t>համար</w:t>
      </w:r>
      <w:r w:rsidRPr="00114B8F">
        <w:rPr>
          <w:rFonts w:ascii="GHEA Grapalat" w:eastAsia="Times New Roman" w:hAnsi="GHEA Grapalat" w:cs="Times New Roman"/>
          <w:color w:val="000000"/>
        </w:rPr>
        <w:t>,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lastRenderedPageBreak/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III*- Հրդեհի ազդանշանման ինքնաշխատ համակարգերով օբյեկտների համալրման չափանիշներն են.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2509"/>
        <w:gridCol w:w="1457"/>
      </w:tblGrid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1. 30 մ-ից ավելի բարձրությամբ շենքեր (բացառությամբ բնակելի և հրդեհային անվտանգության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«Գ» և «Դ» կարգի</w:t>
            </w:r>
            <w:r w:rsidRPr="00114B8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արտադրական շենքերից):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2.1. Հասարակական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`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համաձայն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«Բնակելի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շենքեր»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ՍՆիՊ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2.08.01-89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շինարարական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նորմի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1.34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կետի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2.2. Վարչակենցաղային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3. Ցուցասրահների շենքեր.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3.1. Միահարկ (բացառությամբ սույն հավելվածի 12- րդ կետում նշվածների)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3.2. Երկու հարկ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4. Հազվագյուտ հրատարակչությունների, հաշվետվությունների, ձեռագրերի և հատուկ արժևորության այլ փաստաթղթերի (այդ թվում գործույթների բաժինների արխիվների) պահպանման և հանձնման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5. Պահոցների, գրադարանների ու արխիվների ծառայողական գույքացուցակների և գրացուցակների պահպանման սենքեր, պահպանման ընդհանուր ֆոնդով.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5.1. 500 հազար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5.2. 500 հազարից պակաս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6. Ցուցասրահներ, բացառությամբ` ժամանակավոր ցուցադրման համար օգտագործվող սենքերի (ճեմասրահներ, նախասրահներ և այլն), ինչպես նաև այն սենքերի վրա, որտեղ արժեքների պահպանումը իրականացվում է մետաղական պահարաններում: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7. Թանգարանային արժեքների պահպանման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8. Մշակութատեսարանային նշանակության շենքերում.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8.1. Բեմաճաղերի առկայությամբ բեմահարթակներով 700-ից ավելի նստատեղերով կինոթատրոններ ու ակումբներ: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700 նստատեղից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8.2. Մինչև 700 նստատեղերով 12.5X7.5, 15X7.5, 18X9 և 21X12 մետր չափերով բեմով ակումբներ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8.3. 700-ից ավելի նստատեղերով 18X9, 21X12 և անկախ նստատեղերի քանակից 18X12 և 21X15 մետր չափերով բեմով ակումբներ, ինչպես նաև թատրոններ`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700 նստատեղից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8.4. 800 և ավելի նստատեղերով ֆիլհարմոնիայի համերգային, կինոհամերգային և մարդկանց զանգվածային կուտակման համար նախատեսված դահլիճներ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800 նստատեղից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8.5. Բեմազարդանկարների, շինծու իրերի, բեմիրերի, պահեստներ, փայտամշակման արհեստանոցներ, տնտեսական և գույքային խորդանոցներ, գովազդի պատրաստման և պահպանման սենքեր, բեմի սպասարկման և արտադրական նշանակության սենքեր, կենդանիների համար սենքեր, հանդիսատեսի դահլիճի վերևի` գմբեթատակի ձեղնահարկային տարածություն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9. Կինոստուդիաների նկարահանման տաղավարներ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10. Այրելի նյութերի կամ այրելի փաթեթավորմամբ չայրվող նյութերի պահպանման սենքեր, դրանց տեղակայմամբ.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10.1. Սպորտային ծածկած կառույցների ցանկացած տարողությամբ տրիբունաների 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10.2. 800 և ավելի հանդիսատեսներով սպորտային ծածկած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10.3. 3000 և ավելի հանդիսատեսներով սպորտային բաց կառույցների տրիբունաների 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Calibri" w:eastAsia="Times New Roman" w:hAnsi="Calibri" w:cs="Calibri"/>
                <w:color w:val="000000"/>
              </w:rPr>
              <w:t> 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114B8F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11.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Շինության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br/>
              <w:t>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Սույն աղյուսակում ամրագրված` տարբեր դասերի հրդեհների մարման համար փոշային կրակմարիչները պետք է ունենան համապատասխան լիցքավորում, «A» դասի համար ABC(E) փոշի, «D» դասի համար` (D):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lastRenderedPageBreak/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</w:t>
      </w:r>
      <w:r w:rsidRPr="00114B8F">
        <w:rPr>
          <w:rFonts w:ascii="Calibri" w:eastAsia="Times New Roman" w:hAnsi="Calibri" w:cs="Calibri"/>
          <w:b/>
          <w:bCs/>
          <w:color w:val="000000"/>
        </w:rPr>
        <w:t> </w:t>
      </w:r>
      <w:r w:rsidRPr="00114B8F">
        <w:rPr>
          <w:rFonts w:ascii="GHEA Grapalat" w:eastAsia="Times New Roman" w:hAnsi="GHEA Grapalat" w:cs="GHEA Grapalat"/>
          <w:b/>
          <w:bCs/>
          <w:color w:val="000000"/>
        </w:rPr>
        <w:t>օդափրփրային</w:t>
      </w:r>
      <w:r w:rsidRPr="00114B8F">
        <w:rPr>
          <w:rFonts w:ascii="GHEA Grapalat" w:eastAsia="Times New Roman" w:hAnsi="GHEA Grapalat" w:cs="Times New Roman"/>
          <w:b/>
          <w:bCs/>
          <w:color w:val="000000"/>
        </w:rPr>
        <w:t>, համակցված</w:t>
      </w:r>
      <w:r w:rsidRPr="00114B8F">
        <w:rPr>
          <w:rFonts w:ascii="GHEA Grapalat" w:eastAsia="Times New Roman" w:hAnsi="GHEA Grapalat" w:cs="Times New Roman"/>
          <w:color w:val="000000"/>
        </w:rPr>
        <w:t>,</w:t>
      </w:r>
      <w:r w:rsidRPr="00114B8F">
        <w:rPr>
          <w:rFonts w:ascii="Calibri" w:eastAsia="Times New Roman" w:hAnsi="Calibri" w:cs="Calibri"/>
          <w:b/>
          <w:bCs/>
          <w:color w:val="000000"/>
        </w:rPr>
        <w:t> </w:t>
      </w:r>
      <w:r w:rsidRPr="00114B8F">
        <w:rPr>
          <w:rFonts w:ascii="GHEA Grapalat" w:eastAsia="Times New Roman" w:hAnsi="GHEA Grapalat" w:cs="GHEA Grapalat"/>
          <w:b/>
          <w:bCs/>
          <w:color w:val="000000"/>
        </w:rPr>
        <w:t>փոշե</w:t>
      </w:r>
      <w:r w:rsidRPr="00114B8F">
        <w:rPr>
          <w:rFonts w:ascii="GHEA Grapalat" w:eastAsia="Times New Roman" w:hAnsi="GHEA Grapalat" w:cs="Times New Roman"/>
          <w:b/>
          <w:bCs/>
          <w:color w:val="000000"/>
        </w:rPr>
        <w:t xml:space="preserve"> և ածխաթթվային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114B8F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114B8F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114B8F" w:rsidRPr="00114B8F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B8F" w:rsidRPr="00114B8F" w:rsidRDefault="00114B8F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14B8F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1) «A» դասի համար` ABC(E) փոշի.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2) «B», «C» և «E» դասի համար` BC(E) կամ ABC(E) փոշի.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lastRenderedPageBreak/>
        <w:t>ՈՒ Ղ Ե Ց ՈՒ Յ Ց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color w:val="000000"/>
        </w:rPr>
        <w:t>ՄԻՆՉԵՎ 800 ՆՍՏԱՏԵՂՈՎ ՄՇԱԿՈՒԹԱՅԻՆ ՀԻՄՆԱՐԿՆԵՐԻ ՍՏՈՒԳԱԹԵՐԹԻ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Calibri" w:eastAsia="Times New Roman" w:hAnsi="Calibri" w:cs="Calibri"/>
          <w:color w:val="000000"/>
        </w:rPr>
        <w:t> 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i/>
          <w:iCs/>
          <w:color w:val="000000"/>
        </w:rPr>
        <w:t>1) այրվող նյութ`</w:t>
      </w:r>
      <w:r w:rsidRPr="00114B8F">
        <w:rPr>
          <w:rFonts w:ascii="Calibri" w:eastAsia="Times New Roman" w:hAnsi="Calibri" w:cs="Calibri"/>
          <w:i/>
          <w:iCs/>
          <w:color w:val="000000"/>
        </w:rPr>
        <w:t> </w:t>
      </w:r>
      <w:r w:rsidRPr="00114B8F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114B8F">
        <w:rPr>
          <w:rFonts w:ascii="Calibri" w:eastAsia="Times New Roman" w:hAnsi="Calibri" w:cs="Calibri"/>
          <w:i/>
          <w:iCs/>
          <w:color w:val="000000"/>
        </w:rPr>
        <w:t> </w:t>
      </w:r>
      <w:r w:rsidRPr="00114B8F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r w:rsidRPr="00114B8F">
        <w:rPr>
          <w:rFonts w:ascii="GHEA Grapalat" w:eastAsia="Times New Roman" w:hAnsi="GHEA Grapalat" w:cs="Times New Roman"/>
          <w:i/>
          <w:iCs/>
          <w:color w:val="000000"/>
        </w:rPr>
        <w:t xml:space="preserve"> պատնեշ</w:t>
      </w:r>
      <w:r w:rsidRPr="00114B8F">
        <w:rPr>
          <w:rFonts w:ascii="GHEA Grapalat" w:eastAsia="Times New Roman" w:hAnsi="GHEA Grapalat" w:cs="Times New Roman"/>
          <w:color w:val="000000"/>
        </w:rPr>
        <w:t>՝ շենքի ծավալը հակահրդեհային հատվածամասերի բաժանող, շենքում և սենքում հրդեհի ու այրման արգասիքների տարածումը խոչընդոտող և համապատասխան հրակայունության սահման ունեցող պատեր, միջնորմներ, ծածկեր, բացվածքների հրակայուն լցվածքներ, նախամուտք անցախուցեր.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3)</w:t>
      </w:r>
      <w:r w:rsidRPr="00114B8F">
        <w:rPr>
          <w:rFonts w:ascii="Calibri" w:eastAsia="Times New Roman" w:hAnsi="Calibri" w:cs="Calibri"/>
          <w:i/>
          <w:iCs/>
          <w:color w:val="000000"/>
        </w:rPr>
        <w:t> </w:t>
      </w:r>
      <w:r w:rsidRPr="00114B8F">
        <w:rPr>
          <w:rFonts w:ascii="GHEA Grapalat" w:eastAsia="Times New Roman" w:hAnsi="GHEA Grapalat" w:cs="GHEA Grapalat"/>
          <w:i/>
          <w:iCs/>
          <w:color w:val="000000"/>
        </w:rPr>
        <w:t>դյուրանետվող</w:t>
      </w:r>
      <w:r w:rsidRPr="00114B8F">
        <w:rPr>
          <w:rFonts w:ascii="GHEA Grapalat" w:eastAsia="Times New Roman" w:hAnsi="GHEA Grapalat" w:cs="Times New Roman"/>
          <w:i/>
          <w:iCs/>
          <w:color w:val="000000"/>
        </w:rPr>
        <w:t xml:space="preserve"> կոնստրուկցիաներ՝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GHEA Grapalat"/>
          <w:color w:val="000000"/>
        </w:rPr>
        <w:t>ապակեպատ</w:t>
      </w:r>
      <w:r w:rsidRPr="00114B8F">
        <w:rPr>
          <w:rFonts w:ascii="GHEA Grapalat" w:eastAsia="Times New Roman" w:hAnsi="GHEA Grapalat" w:cs="Times New Roman"/>
          <w:color w:val="000000"/>
        </w:rPr>
        <w:t xml:space="preserve"> պատուհաններ և երդիկներ կամ պողպատե, ալյումինե և ասբոցեմենտի թերթերով և արդյունավետ ջերմապահպանիչներով ծածկեր: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4) հրդեհաշիջման և հրդեհի ազդանշանման ինքնաշխատ կայանքներ (ՀՀԱ</w:t>
      </w:r>
      <w:r w:rsidRPr="00114B8F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114B8F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5</w:t>
      </w:r>
      <w:r w:rsidRPr="00114B8F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114B8F">
        <w:rPr>
          <w:rFonts w:ascii="Calibri" w:eastAsia="Times New Roman" w:hAnsi="Calibri" w:cs="Calibri"/>
          <w:i/>
          <w:iCs/>
          <w:color w:val="000000"/>
        </w:rPr>
        <w:t> </w:t>
      </w:r>
      <w:r w:rsidRPr="00114B8F">
        <w:rPr>
          <w:rFonts w:ascii="GHEA Grapalat" w:eastAsia="Times New Roman" w:hAnsi="GHEA Grapalat" w:cs="Times New Roman"/>
          <w:color w:val="000000"/>
        </w:rPr>
        <w:t>հրդեհի տագնապի ազդարարման ինքնաշխատ համակարգ (ՀՏԱ</w:t>
      </w:r>
      <w:r w:rsidRPr="00114B8F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114B8F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6) հրդեհի տագնապի ազդանշանի փոխանցման ինքնաշխատ համակարգ (ՀՏԱՓ</w:t>
      </w:r>
      <w:r w:rsidRPr="00114B8F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114B8F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7) լիազոր մարմին` Հայաստանի Հանրապետության ներքին գործերի նախարարություն.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color w:val="000000"/>
        </w:rPr>
        <w:t>8)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Times New Roman"/>
          <w:i/>
          <w:iCs/>
          <w:color w:val="000000"/>
        </w:rPr>
        <w:t>հրդեհաշիջման սկզբնական միջոցներ՝</w:t>
      </w:r>
      <w:r w:rsidRPr="00114B8F">
        <w:rPr>
          <w:rFonts w:ascii="Calibri" w:eastAsia="Times New Roman" w:hAnsi="Calibri" w:cs="Calibri"/>
          <w:color w:val="000000"/>
        </w:rPr>
        <w:t> </w:t>
      </w:r>
      <w:r w:rsidRPr="00114B8F">
        <w:rPr>
          <w:rFonts w:ascii="GHEA Grapalat" w:eastAsia="Times New Roman" w:hAnsi="GHEA Grapalat" w:cs="GHEA Grapalat"/>
          <w:color w:val="000000"/>
        </w:rPr>
        <w:t>կրակմարիչներ</w:t>
      </w:r>
      <w:r w:rsidRPr="00114B8F">
        <w:rPr>
          <w:rFonts w:ascii="GHEA Grapalat" w:eastAsia="Times New Roman" w:hAnsi="GHEA Grapalat" w:cs="Times New Roman"/>
          <w:color w:val="000000"/>
        </w:rPr>
        <w:t>, արկղ ավազով, դույլ, բահ, կեռաձող, կացին:</w:t>
      </w:r>
    </w:p>
    <w:p w:rsidR="00114B8F" w:rsidRPr="00114B8F" w:rsidRDefault="00114B8F" w:rsidP="00114B8F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114B8F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(hավելվածը լրաց. 12.09.19 N 1244-Ն, փոփ. 03.08.23 N 1304-Ն,</w:t>
      </w:r>
      <w:r w:rsidRPr="00114B8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14B8F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114B8F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., խմբ., փոփ.</w:t>
      </w:r>
      <w:r w:rsidRPr="00114B8F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114B8F">
        <w:rPr>
          <w:rFonts w:ascii="GHEA Grapalat" w:eastAsia="Times New Roman" w:hAnsi="GHEA Grapalat" w:cs="Times New Roman"/>
          <w:b/>
          <w:bCs/>
          <w:i/>
          <w:iCs/>
          <w:color w:val="000000"/>
        </w:rPr>
        <w:t>18.01.24 N 88-Ն)</w:t>
      </w:r>
    </w:p>
    <w:bookmarkEnd w:id="0"/>
    <w:p w:rsidR="001516E1" w:rsidRPr="00114B8F" w:rsidRDefault="001516E1" w:rsidP="00114B8F">
      <w:pPr>
        <w:rPr>
          <w:rFonts w:ascii="GHEA Grapalat" w:hAnsi="GHEA Grapalat"/>
        </w:rPr>
      </w:pPr>
    </w:p>
    <w:sectPr w:rsidR="001516E1" w:rsidRPr="00114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E7"/>
    <w:rsid w:val="00114B8F"/>
    <w:rsid w:val="001516E1"/>
    <w:rsid w:val="005266E7"/>
    <w:rsid w:val="005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13CC-DC7E-4382-97B9-F5E28C0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66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5266E7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266E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5266E7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5266E7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5266E7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5266E7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5266E7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5266E7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6E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5266E7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266E7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5266E7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266E7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5266E7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5266E7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5266E7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5266E7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52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266E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266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5266E7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5266E7"/>
  </w:style>
  <w:style w:type="paragraph" w:styleId="BalloonText">
    <w:name w:val="Balloon Text"/>
    <w:basedOn w:val="Normal"/>
    <w:link w:val="BalloonTextChar"/>
    <w:uiPriority w:val="99"/>
    <w:semiHidden/>
    <w:unhideWhenUsed/>
    <w:rsid w:val="005266E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E7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52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26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526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5266E7"/>
  </w:style>
  <w:style w:type="paragraph" w:styleId="Header">
    <w:name w:val="header"/>
    <w:basedOn w:val="Normal"/>
    <w:link w:val="HeaderChar"/>
    <w:unhideWhenUsed/>
    <w:rsid w:val="005266E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266E7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266E7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5266E7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5266E7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266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5266E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266E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5266E7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5266E7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5266E7"/>
    <w:rPr>
      <w:color w:val="808080"/>
    </w:rPr>
  </w:style>
  <w:style w:type="paragraph" w:styleId="NoSpacing">
    <w:name w:val="No Spacing"/>
    <w:link w:val="NoSpacingChar"/>
    <w:qFormat/>
    <w:rsid w:val="005266E7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5266E7"/>
    <w:rPr>
      <w:rFonts w:cs="Times New Roman"/>
      <w:color w:val="0000FF"/>
      <w:u w:val="single"/>
    </w:rPr>
  </w:style>
  <w:style w:type="character" w:styleId="FollowedHyperlink">
    <w:name w:val="FollowedHyperlink"/>
    <w:rsid w:val="005266E7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5266E7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5266E7"/>
  </w:style>
  <w:style w:type="paragraph" w:styleId="BodyTextIndent">
    <w:name w:val="Body Text Indent"/>
    <w:basedOn w:val="Normal"/>
    <w:link w:val="BodyTextIndentChar"/>
    <w:rsid w:val="005266E7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266E7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266E7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266E7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5266E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266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266E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266E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5266E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5266E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5266E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5266E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5266E7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5266E7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5266E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5266E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5266E7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5266E7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52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5266E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5266E7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5266E7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5266E7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5266E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5266E7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5266E7"/>
  </w:style>
  <w:style w:type="character" w:customStyle="1" w:styleId="CharChar3">
    <w:name w:val="Char Char3"/>
    <w:rsid w:val="005266E7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5266E7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5266E7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52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52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5266E7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526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5266E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2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6E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266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11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2024-03-01T08:06:00Z</dcterms:created>
  <dcterms:modified xsi:type="dcterms:W3CDTF">2024-03-01T08:06:00Z</dcterms:modified>
</cp:coreProperties>
</file>